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F7F2" w14:textId="05ACEAE1" w:rsidR="00380FDB" w:rsidRDefault="00380FDB"/>
    <w:p w14:paraId="6036D47C" w14:textId="394E4EA5" w:rsidR="0049001E" w:rsidRPr="004B49FE" w:rsidRDefault="0049001E" w:rsidP="0049001E">
      <w:pPr>
        <w:spacing w:after="0"/>
        <w:ind w:firstLine="709"/>
        <w:jc w:val="both"/>
        <w:rPr>
          <w:rFonts w:ascii="Times New Roman" w:hAnsi="Times New Roman" w:cs="Times New Roman"/>
          <w:color w:val="FF0000"/>
          <w:sz w:val="44"/>
          <w:szCs w:val="44"/>
          <w:lang w:val="kk-KZ"/>
        </w:rPr>
      </w:pPr>
      <w:r w:rsidRPr="004B49FE">
        <w:rPr>
          <w:rFonts w:ascii="Times New Roman" w:hAnsi="Times New Roman" w:cs="Times New Roman"/>
          <w:color w:val="FF0000"/>
          <w:sz w:val="44"/>
          <w:szCs w:val="44"/>
          <w:highlight w:val="yellow"/>
          <w:lang w:val="kk-KZ" w:eastAsia="ko-KR"/>
        </w:rPr>
        <w:t>Практикалық сабақ ПС</w:t>
      </w:r>
      <w:r w:rsidRPr="004B49FE">
        <w:rPr>
          <w:rFonts w:ascii="Times New Roman" w:hAnsi="Times New Roman" w:cs="Times New Roman"/>
          <w:color w:val="FF0000"/>
          <w:sz w:val="44"/>
          <w:szCs w:val="44"/>
          <w:lang w:val="kk-KZ" w:eastAsia="ko-KR"/>
        </w:rPr>
        <w:t>-7</w:t>
      </w:r>
      <w:bookmarkStart w:id="0" w:name="_Hlk122195023"/>
      <w:r w:rsidR="004B49FE" w:rsidRPr="004B49FE">
        <w:rPr>
          <w:rFonts w:ascii="Times New Roman" w:hAnsi="Times New Roman" w:cs="Times New Roman"/>
          <w:bCs/>
          <w:color w:val="FF0000"/>
          <w:sz w:val="44"/>
          <w:szCs w:val="44"/>
          <w:lang w:val="kk-KZ"/>
        </w:rPr>
        <w:t xml:space="preserve"> </w:t>
      </w:r>
      <w:r w:rsidR="004B49FE" w:rsidRPr="004B49FE">
        <w:rPr>
          <w:rFonts w:ascii="Times New Roman" w:hAnsi="Times New Roman" w:cs="Times New Roman"/>
          <w:bCs/>
          <w:color w:val="FF0000"/>
          <w:sz w:val="44"/>
          <w:szCs w:val="44"/>
          <w:highlight w:val="green"/>
          <w:lang w:val="kk-KZ"/>
        </w:rPr>
        <w:t>Кәсіпорындардың төлем қабілетсіздігін мемлекеттік реттеу</w:t>
      </w:r>
      <w:bookmarkEnd w:id="0"/>
    </w:p>
    <w:p w14:paraId="328285B2" w14:textId="77777777" w:rsidR="0049001E" w:rsidRPr="004B49FE" w:rsidRDefault="0049001E" w:rsidP="0049001E">
      <w:pPr>
        <w:rPr>
          <w:rFonts w:ascii="Times New Roman" w:hAnsi="Times New Roman" w:cs="Times New Roman"/>
          <w:color w:val="FF0000"/>
          <w:sz w:val="44"/>
          <w:szCs w:val="44"/>
          <w:lang w:val="kk-KZ"/>
        </w:rPr>
      </w:pPr>
    </w:p>
    <w:p w14:paraId="544FBFAD" w14:textId="463C9501" w:rsidR="0049001E" w:rsidRPr="004B49FE" w:rsidRDefault="0049001E" w:rsidP="0049001E">
      <w:pPr>
        <w:tabs>
          <w:tab w:val="left" w:pos="0"/>
        </w:tabs>
        <w:rPr>
          <w:rFonts w:ascii="Times New Roman" w:hAnsi="Times New Roman" w:cs="Times New Roman"/>
          <w:color w:val="FF0000"/>
          <w:sz w:val="44"/>
          <w:szCs w:val="44"/>
          <w:lang w:val="kk-KZ"/>
        </w:rPr>
      </w:pPr>
      <w:r w:rsidRPr="004B49FE">
        <w:rPr>
          <w:rFonts w:ascii="Times New Roman" w:hAnsi="Times New Roman" w:cs="Times New Roman"/>
          <w:color w:val="FF0000"/>
          <w:sz w:val="44"/>
          <w:szCs w:val="44"/>
        </w:rPr>
        <w:tab/>
      </w:r>
      <w:r w:rsidRPr="004B49FE">
        <w:rPr>
          <w:rFonts w:ascii="Times New Roman" w:hAnsi="Times New Roman" w:cs="Times New Roman"/>
          <w:color w:val="FF0000"/>
          <w:sz w:val="44"/>
          <w:szCs w:val="44"/>
          <w:highlight w:val="green"/>
          <w:lang w:val="kk-KZ"/>
        </w:rPr>
        <w:t>Сабақтың  мақсаты</w:t>
      </w:r>
      <w:r w:rsidRPr="004B49FE">
        <w:rPr>
          <w:rFonts w:ascii="Times New Roman" w:hAnsi="Times New Roman" w:cs="Times New Roman"/>
          <w:color w:val="FF0000"/>
          <w:sz w:val="44"/>
          <w:szCs w:val="44"/>
          <w:lang w:val="kk-KZ"/>
        </w:rPr>
        <w:t xml:space="preserve"> – студенттерге</w:t>
      </w:r>
      <w:r w:rsidR="004B49FE" w:rsidRPr="004B49FE">
        <w:rPr>
          <w:rFonts w:ascii="Times New Roman" w:hAnsi="Times New Roman" w:cs="Times New Roman"/>
          <w:bCs/>
          <w:color w:val="FF0000"/>
          <w:sz w:val="44"/>
          <w:szCs w:val="44"/>
          <w:lang w:val="kk-KZ"/>
        </w:rPr>
        <w:t xml:space="preserve"> кәсіпорындардың төлем қабілетсіздігін мемлекеттік реттеу</w:t>
      </w:r>
    </w:p>
    <w:p w14:paraId="12792AAA" w14:textId="77777777" w:rsidR="0049001E" w:rsidRPr="004B49FE" w:rsidRDefault="0049001E" w:rsidP="0049001E">
      <w:pPr>
        <w:tabs>
          <w:tab w:val="left" w:pos="0"/>
        </w:tabs>
        <w:rPr>
          <w:rFonts w:ascii="Times New Roman" w:hAnsi="Times New Roman" w:cs="Times New Roman"/>
          <w:color w:val="FF0000"/>
          <w:sz w:val="44"/>
          <w:szCs w:val="44"/>
          <w:lang w:val="kk-KZ"/>
        </w:rPr>
      </w:pPr>
      <w:r w:rsidRPr="004B49FE">
        <w:rPr>
          <w:rFonts w:ascii="Times New Roman" w:hAnsi="Times New Roman" w:cs="Times New Roman"/>
          <w:color w:val="FF0000"/>
          <w:sz w:val="44"/>
          <w:szCs w:val="44"/>
          <w:lang w:val="kk-KZ"/>
        </w:rPr>
        <w:t xml:space="preserve"> жан-жақты кешенді түсіндіру</w:t>
      </w:r>
    </w:p>
    <w:p w14:paraId="4D6674ED" w14:textId="77777777" w:rsidR="0049001E" w:rsidRPr="004B49FE" w:rsidRDefault="0049001E" w:rsidP="0049001E">
      <w:pPr>
        <w:tabs>
          <w:tab w:val="left" w:pos="1380"/>
        </w:tabs>
        <w:rPr>
          <w:rFonts w:ascii="Times New Roman" w:hAnsi="Times New Roman" w:cs="Times New Roman"/>
          <w:color w:val="FF0000"/>
          <w:sz w:val="44"/>
          <w:szCs w:val="44"/>
          <w:lang w:val="kk-KZ"/>
        </w:rPr>
      </w:pPr>
      <w:r w:rsidRPr="004B49FE">
        <w:rPr>
          <w:rFonts w:ascii="Times New Roman" w:hAnsi="Times New Roman" w:cs="Times New Roman"/>
          <w:color w:val="FF0000"/>
          <w:sz w:val="44"/>
          <w:szCs w:val="44"/>
          <w:lang w:val="kk-KZ"/>
        </w:rPr>
        <w:t>Сұрақтар:</w:t>
      </w:r>
    </w:p>
    <w:p w14:paraId="6EA098A3" w14:textId="49AA3134" w:rsidR="0049001E" w:rsidRPr="004B49FE" w:rsidRDefault="0049001E" w:rsidP="0049001E">
      <w:pPr>
        <w:rPr>
          <w:rFonts w:ascii="Times New Roman" w:hAnsi="Times New Roman" w:cs="Times New Roman"/>
          <w:color w:val="FF0000"/>
          <w:sz w:val="44"/>
          <w:szCs w:val="44"/>
          <w:highlight w:val="yellow"/>
          <w:lang w:val="kk-KZ"/>
        </w:rPr>
      </w:pPr>
      <w:r w:rsidRPr="004B49FE">
        <w:rPr>
          <w:rFonts w:ascii="Times New Roman" w:hAnsi="Times New Roman" w:cs="Times New Roman"/>
          <w:color w:val="FF0000"/>
          <w:sz w:val="44"/>
          <w:szCs w:val="44"/>
          <w:highlight w:val="yellow"/>
          <w:lang w:val="kk-KZ"/>
        </w:rPr>
        <w:t>1.</w:t>
      </w:r>
      <w:r w:rsidR="004B49FE" w:rsidRPr="004B49FE">
        <w:rPr>
          <w:rFonts w:ascii="Times New Roman" w:hAnsi="Times New Roman" w:cs="Times New Roman"/>
          <w:bCs/>
          <w:color w:val="FF0000"/>
          <w:sz w:val="44"/>
          <w:szCs w:val="44"/>
          <w:highlight w:val="yellow"/>
          <w:lang w:val="kk-KZ"/>
        </w:rPr>
        <w:t xml:space="preserve"> Кәсіпорындардың төлем қабілетсіздігін мемлекеттік реттеу</w:t>
      </w:r>
    </w:p>
    <w:p w14:paraId="220C9EAD" w14:textId="58FFF8B1" w:rsidR="0049001E" w:rsidRPr="004B49FE" w:rsidRDefault="0049001E" w:rsidP="0049001E">
      <w:pPr>
        <w:rPr>
          <w:rFonts w:ascii="Times New Roman" w:hAnsi="Times New Roman" w:cs="Times New Roman"/>
          <w:color w:val="FF0000"/>
          <w:sz w:val="44"/>
          <w:szCs w:val="44"/>
          <w:lang w:val="kk-KZ"/>
        </w:rPr>
      </w:pPr>
      <w:r w:rsidRPr="004B49FE">
        <w:rPr>
          <w:rFonts w:ascii="Times New Roman" w:hAnsi="Times New Roman" w:cs="Times New Roman"/>
          <w:color w:val="FF0000"/>
          <w:sz w:val="44"/>
          <w:szCs w:val="44"/>
          <w:highlight w:val="yellow"/>
          <w:lang w:val="kk-KZ"/>
        </w:rPr>
        <w:t>2.</w:t>
      </w:r>
      <w:r w:rsidR="004B49FE" w:rsidRPr="004B49FE">
        <w:rPr>
          <w:rFonts w:ascii="Times New Roman" w:hAnsi="Times New Roman" w:cs="Times New Roman"/>
          <w:bCs/>
          <w:color w:val="FF0000"/>
          <w:sz w:val="44"/>
          <w:szCs w:val="44"/>
          <w:highlight w:val="yellow"/>
          <w:lang w:val="kk-KZ"/>
        </w:rPr>
        <w:t xml:space="preserve"> Төлем қабілетсіздігін мемлекеттік реттеудің ерекшеліктері</w:t>
      </w:r>
    </w:p>
    <w:p w14:paraId="6D9321CF"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Банкроттық ұғымы қазіргі уақытта қоғамда жағымсыз бірлестіктерді тудырады, өйткені ол бизнесті - компанияны, ұйымды жоюды (немесе, ең болмағанда, түбегейлі қайта құруды) білдіреді, бұл барлық мүдделі тараптар үшін белгісіздік тудырады.</w:t>
      </w:r>
    </w:p>
    <w:p w14:paraId="4084FD15"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Расында, банкроттықтың қоғамымызда алатын орны ерекше.</w:t>
      </w:r>
    </w:p>
    <w:p w14:paraId="48EDE446"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p>
    <w:p w14:paraId="695B1C81"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 xml:space="preserve">Кәсіпкерлік – бұл тек пайда табу мүмкіндігін ғана емес, сонымен қатар оның қатысушыларына қарызды төлемеу тәуекелін тудыратын қызмет түрі. Төлем қабілетсіз борышкер, бір жағынан, кредиторлардың талаптарын қанағаттандыруды кешіктірсе, екінші жағынан, өзіне және </w:t>
      </w:r>
      <w:r w:rsidRPr="00CE795F">
        <w:rPr>
          <w:rFonts w:ascii="Times New Roman" w:eastAsia="Times New Roman" w:hAnsi="Times New Roman" w:cs="Times New Roman"/>
          <w:color w:val="000000"/>
          <w:sz w:val="36"/>
          <w:szCs w:val="36"/>
          <w:lang w:val="kk-KZ" w:eastAsia="ru-RU"/>
        </w:rPr>
        <w:lastRenderedPageBreak/>
        <w:t>үшінші тұлғаларға (заңды тұлғаның құрылтайшылары, қатысушылары) жағымсыз салдарлардың пайда болу мүмкіндігін тудырады: қарыздардың көбеюі, оның тоқтатылуы. қаржылық-шаруашылық қызмет, мүлікті басқарудан шығару, осы мүлікті сату және т.б.</w:t>
      </w:r>
    </w:p>
    <w:p w14:paraId="67618137"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Қаржы министрлігінің Дәрменсіз борышкерлермен жұмыс жөніндегі комитеті  өз құзыреті шегінде банкроттық рәсімдерінің жүргізілуін бақылау саласында (банктерді, сақтандыруды қоспағанда) жүзеге асыру және бақылау функцияларын жүзеге асырады. қайта сақтандыру) ұйымдар мен жинақтаушы зейнетақы қорлары).</w:t>
      </w:r>
    </w:p>
    <w:p w14:paraId="22A6FA97"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Банкроттық саласындағы уәкiлеттi орган ретiнде Комитеттiң мақсаттары мен мiндеттерi оңалту және конкурстық басқарушылардың банкроттық массасына заңсыз алынған мүлiктi қайтаруға, несие берушiлердiң несиелерiн барынша толық өтеуге бағытталған тиiмдi жұмысын ұйымдастыруды қамтамасыз ету болып табылады. талап қою, қасақана және жалған банкроттық белгілерін анықтау, жосықсыз кәсіпкерлердің банкроттықты міндеттемелерден жалтару құралы ретінде пайдалануына жол бермеу және т.б.</w:t>
      </w:r>
    </w:p>
    <w:p w14:paraId="7AE84400"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Кредиторлардың мүдделерін қамтамасыз ету және оңалту рәсіміне және банкроттық рәсіміне олардың қатысуымен шешімдер қабылдау үшін кредиторлар комитеті құрылады.</w:t>
      </w:r>
    </w:p>
    <w:p w14:paraId="3B85A957"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 xml:space="preserve">Заң кредиторлар комитетіне оңалтушыдан немесе конкурстық басқарушыдан борышкердің қаржылық жағдайы және оңалту рәсімі мен банкроттық рәсімінің барысы туралы ақпарат беруді талап ету, банкроттыққа шағымдану сияқты кең ауқымды бақылау өкілеттіктерін береді. уәкiлеттi орган немесе сот оның iс-әрекеттерiн, оларды өз мiндеттерiнен шеттету туралы уәкiлеттi органға өтiнiш жасау туралы </w:t>
      </w:r>
      <w:r w:rsidRPr="00CE795F">
        <w:rPr>
          <w:rFonts w:ascii="Times New Roman" w:eastAsia="Times New Roman" w:hAnsi="Times New Roman" w:cs="Times New Roman"/>
          <w:color w:val="000000"/>
          <w:sz w:val="36"/>
          <w:szCs w:val="36"/>
          <w:lang w:val="kk-KZ" w:eastAsia="ru-RU"/>
        </w:rPr>
        <w:lastRenderedPageBreak/>
        <w:t>шешiм қабылдау, конкурстық басқарушы ұсынған конкурстық массаны жүзеге асыру жоспарын бекiту, оңалту рәсiмiн жүргiзудiң баптары мен шығыстарының сметасын бекiту; және банкроттық рәсімдері.</w:t>
      </w:r>
    </w:p>
    <w:p w14:paraId="11BE3378"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Кәсіпорындардың төлем қабілетсіздігіне қатысты айта кететін жайт, банкроттық рәсімдерін қолдану міндетті түрде заңды тұлғаны таратуды, яғни қарыздарын өтеу мақсатында оның барлық мүлкін сатуды білдірмейді.</w:t>
      </w:r>
    </w:p>
    <w:p w14:paraId="48C9334C"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Қазақстан заңнамасында кәсіпорынның төлем қабілеттілігін қалпына келтірудің мұндай шарасы оңалту рәсімі ретінде қарастырылған.</w:t>
      </w:r>
    </w:p>
    <w:p w14:paraId="69C1C6FE"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«Банкроттық туралы» Қазақстан Республикасы Заңының  43-бабына сәйкес, егер оның төлем қабілеттілігін қалпына келтіру мүмкін болса, дәрменсіз борышкер өзіне қатысты оңалту рәсімін қолдану туралы өтінішхат бере алады. банкрот деп тану туралы сотқа жүгінгенге дейін уәкілетті органға оңалту рәсімін береді. Кредиторлар немесе үшінші тұлғалар да банкроттық рәсімін қозғамас бұрын осындай өтінішпен жүгіне алады.</w:t>
      </w:r>
    </w:p>
    <w:p w14:paraId="49FBFD0D"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p>
    <w:p w14:paraId="6327C273"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p>
    <w:p w14:paraId="075B90BE"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Оңалту процедурасы кәсіпорынның төлем қабілеттілігін қалпына келтіру процедурасы болып табылады және ол, мысалы, кәсіпқой емес басқару салдарынан төлем қабілетсіздігі қалыптасқан кәсіпорынды құтқаруға бағытталған. Бұл дәрменсіз борышкердің жойылуын болдырмау үшін және кредиторлар үшін өз талаптарын толық қанағаттандыру үшін жақсы балама болып табылады.</w:t>
      </w:r>
    </w:p>
    <w:p w14:paraId="5ECC9021"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lastRenderedPageBreak/>
        <w:t>Оңалту процедурасын енгізгеннен кейін келесі салдарлар пайда болады:</w:t>
      </w:r>
    </w:p>
    <w:p w14:paraId="68C22A49" w14:textId="77777777" w:rsidR="00CE795F" w:rsidRPr="00CE795F" w:rsidRDefault="00CE795F" w:rsidP="00CE795F">
      <w:pPr>
        <w:numPr>
          <w:ilvl w:val="0"/>
          <w:numId w:val="3"/>
        </w:numPr>
        <w:shd w:val="clear" w:color="auto" w:fill="FFFFFF"/>
        <w:spacing w:after="432" w:line="336" w:lineRule="atLeast"/>
        <w:ind w:firstLine="567"/>
        <w:contextualSpacing/>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Борышкерге қатысты оңалту рәсiмiн жүзеге асыру кезеңiне оңалтуды басқарушы тағайындалады, оған заңды тұлғаның барлық органдарының оның мүлкi мен iсiн басқару жөнiндегi өкiлеттiктерi берiледi. Оңалтуды басқарушы жоспарға сәйкес шаралар қабылдауға құқылы</w:t>
      </w:r>
      <w:r w:rsidRPr="00CE795F">
        <w:rPr>
          <w:sz w:val="36"/>
          <w:szCs w:val="36"/>
          <w:lang w:val="kk-KZ"/>
        </w:rPr>
        <w:t xml:space="preserve"> </w:t>
      </w:r>
      <w:r w:rsidRPr="00CE795F">
        <w:rPr>
          <w:rFonts w:ascii="Times New Roman" w:eastAsia="Times New Roman" w:hAnsi="Times New Roman" w:cs="Times New Roman"/>
          <w:color w:val="000000"/>
          <w:sz w:val="36"/>
          <w:szCs w:val="36"/>
          <w:lang w:val="kk-KZ" w:eastAsia="ru-RU"/>
        </w:rPr>
        <w:t>Оңалтуды басқарушы борышкерді оңалту мақсатына қол жеткізуге бағытталған оңалту жоспарына сәйкес іс-әрекеттер жасауға құқылы (қызметкерлерді жұмыстан босату, ішкі қайта ұйымдастыруды жүргізу: ішкі бөлімшелерді тарату және басқа да шараларды қолдану).</w:t>
      </w:r>
    </w:p>
    <w:p w14:paraId="7BDD2CB9" w14:textId="77777777" w:rsidR="00CE795F" w:rsidRPr="00CE795F" w:rsidRDefault="00CE795F" w:rsidP="00CE795F">
      <w:pPr>
        <w:shd w:val="clear" w:color="auto" w:fill="FFFFFF"/>
        <w:spacing w:after="432" w:line="336" w:lineRule="atLeast"/>
        <w:ind w:firstLine="567"/>
        <w:contextualSpacing/>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Оңалту жоспарында көзделген мүлікті (активтерді) сату сауда-саттық арқылы жүзеге асырылады.</w:t>
      </w:r>
    </w:p>
    <w:p w14:paraId="6F09BF39"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2.Оңалту рәсімін жүзеге асыру кезеңінде дәрменсіз борышкердің кредиторларының талаптары Заңда белгіленген тәртіппен қанағаттандырылады.</w:t>
      </w:r>
    </w:p>
    <w:p w14:paraId="63F9DE06" w14:textId="77777777" w:rsidR="00CE795F" w:rsidRPr="00CE795F" w:rsidRDefault="00CE795F" w:rsidP="00CE795F">
      <w:pPr>
        <w:shd w:val="clear" w:color="auto" w:fill="FFFFFF"/>
        <w:spacing w:after="432" w:line="336" w:lineRule="atLeast"/>
        <w:ind w:firstLine="400"/>
        <w:jc w:val="both"/>
        <w:textAlignment w:val="baseline"/>
        <w:rPr>
          <w:rFonts w:ascii="Times New Roman" w:eastAsia="Times New Roman" w:hAnsi="Times New Roman" w:cs="Times New Roman"/>
          <w:color w:val="000000"/>
          <w:sz w:val="36"/>
          <w:szCs w:val="36"/>
          <w:lang w:val="kk-KZ" w:eastAsia="ru-RU"/>
        </w:rPr>
      </w:pPr>
      <w:r w:rsidRPr="00CE795F">
        <w:rPr>
          <w:rFonts w:ascii="Times New Roman" w:eastAsia="Times New Roman" w:hAnsi="Times New Roman" w:cs="Times New Roman"/>
          <w:color w:val="000000"/>
          <w:sz w:val="36"/>
          <w:szCs w:val="36"/>
          <w:lang w:val="kk-KZ" w:eastAsia="ru-RU"/>
        </w:rPr>
        <w:t>3. Оңалту рәсімі енгізілген кезден бастап борышкер берешегінің барлық түрлері бойынша тұрақсыздық айыбын (айыппұлды, өсімпұлды), сондай-ақ алынған қарыздар бойынша сыйақыны есептеу тоқтатылады.</w:t>
      </w:r>
    </w:p>
    <w:p w14:paraId="483D4C1E" w14:textId="77777777" w:rsidR="005B09D8" w:rsidRDefault="005B09D8" w:rsidP="005B09D8">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729DF050" w14:textId="77777777" w:rsidR="005B09D8" w:rsidRDefault="005B09D8" w:rsidP="005B09D8">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5B09D8">
        <w:rPr>
          <w:rFonts w:ascii="Times New Roman" w:hAnsi="Times New Roman" w:cs="Times New Roman"/>
          <w:sz w:val="24"/>
          <w:szCs w:val="24"/>
          <w:lang w:val="kk-KZ"/>
        </w:rPr>
        <w:tab/>
      </w:r>
      <w:bookmarkStart w:id="1"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30192FF7" w14:textId="77777777" w:rsidR="005B09D8" w:rsidRDefault="005B09D8" w:rsidP="005B09D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5151D6CB" w14:textId="77777777" w:rsidR="005B09D8" w:rsidRDefault="005B09D8" w:rsidP="005B09D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4BAA0F33" w14:textId="77777777" w:rsidR="005B09D8" w:rsidRDefault="005B09D8" w:rsidP="005B09D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615EF1E" w14:textId="77777777" w:rsidR="005B09D8" w:rsidRDefault="005B09D8" w:rsidP="005B09D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228338B4" w14:textId="77777777" w:rsidR="005B09D8" w:rsidRDefault="005B09D8" w:rsidP="005B09D8">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1F230CF6" w14:textId="77777777" w:rsidR="005B09D8" w:rsidRDefault="005B09D8" w:rsidP="005B09D8">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1EB4FC5B" w14:textId="77777777" w:rsidR="005B09D8" w:rsidRDefault="005B09D8" w:rsidP="005B09D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2041F15F" w14:textId="77777777" w:rsidR="005B09D8" w:rsidRDefault="005B09D8" w:rsidP="005B09D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1CD599D6" w14:textId="77777777" w:rsidR="005B09D8" w:rsidRDefault="005B09D8" w:rsidP="005B09D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497B75CB" w14:textId="77777777" w:rsidR="005B09D8" w:rsidRDefault="005B09D8" w:rsidP="005B09D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2062B86D" w14:textId="77777777" w:rsidR="005B09D8" w:rsidRDefault="005B09D8" w:rsidP="005B09D8">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0649F29C" w14:textId="77777777" w:rsidR="005B09D8" w:rsidRDefault="005B09D8" w:rsidP="005B09D8">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5DED094F" w14:textId="77777777" w:rsidR="005B09D8" w:rsidRDefault="005B09D8" w:rsidP="005B09D8">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698B1634" w14:textId="77777777" w:rsidR="005B09D8" w:rsidRDefault="005B09D8" w:rsidP="005B09D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17DFC86C" w14:textId="77777777" w:rsidR="005B09D8" w:rsidRDefault="005B09D8" w:rsidP="005B09D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7F18908D" w14:textId="77777777" w:rsidR="005B09D8" w:rsidRDefault="005B09D8" w:rsidP="005B09D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6C6E6FB3" w14:textId="77777777" w:rsidR="005B09D8" w:rsidRDefault="005B09D8" w:rsidP="005B09D8">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63C0173E" w14:textId="77777777" w:rsidR="005B09D8" w:rsidRDefault="005B09D8" w:rsidP="005B09D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5B48910B" w14:textId="77777777" w:rsidR="005B09D8" w:rsidRDefault="005B09D8" w:rsidP="005B09D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09F145F1" w14:textId="77777777" w:rsidR="005B09D8" w:rsidRDefault="005B09D8" w:rsidP="005B09D8">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0814D418" w14:textId="77777777" w:rsidR="005B09D8" w:rsidRDefault="005B09D8" w:rsidP="005B09D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22195046" w14:textId="77777777" w:rsidR="005B09D8" w:rsidRDefault="005B09D8" w:rsidP="005B09D8">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40293FB5" w14:textId="77777777" w:rsidR="005B09D8" w:rsidRDefault="005B09D8" w:rsidP="005B09D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097DD807" w14:textId="77777777" w:rsidR="005B09D8" w:rsidRDefault="005B09D8" w:rsidP="005B09D8">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3BD52CC8" w14:textId="77777777" w:rsidR="005B09D8" w:rsidRDefault="005B09D8" w:rsidP="005B09D8">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7C23BCE2" w14:textId="77777777" w:rsidR="005B09D8" w:rsidRDefault="005B09D8" w:rsidP="005B09D8">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02122E34" w14:textId="77777777" w:rsidR="005B09D8" w:rsidRDefault="005B09D8" w:rsidP="005B09D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0E833D5C" w14:textId="77777777" w:rsidR="005B09D8" w:rsidRDefault="005B09D8" w:rsidP="005B09D8">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BD5BC4D" w14:textId="77777777" w:rsidR="005B09D8" w:rsidRPr="005B09D8" w:rsidRDefault="005B09D8" w:rsidP="005B09D8">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31A5CA90" w14:textId="77777777" w:rsidR="005B09D8" w:rsidRPr="005B09D8" w:rsidRDefault="005B09D8" w:rsidP="005B09D8">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4058C211" w14:textId="77777777" w:rsidR="005B09D8" w:rsidRDefault="005B09D8" w:rsidP="005B09D8">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2819D228" w14:textId="77777777" w:rsidR="005B09D8" w:rsidRDefault="005B09D8" w:rsidP="005B09D8">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01A0030E" w14:textId="77777777" w:rsidR="005B09D8" w:rsidRPr="005B09D8" w:rsidRDefault="005B09D8" w:rsidP="005B09D8">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72A1DE3D" w14:textId="77777777" w:rsidR="005B09D8" w:rsidRDefault="005B09D8" w:rsidP="005B09D8">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lastRenderedPageBreak/>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6D7C62B" w14:textId="77777777" w:rsidR="005B09D8" w:rsidRDefault="005B09D8" w:rsidP="005B09D8">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EDA3650" w14:textId="77777777" w:rsidR="005B09D8" w:rsidRDefault="005B09D8" w:rsidP="005B09D8">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74627AF8" w14:textId="77777777" w:rsidR="005B09D8" w:rsidRDefault="005B09D8" w:rsidP="005B09D8">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0114691E" w14:textId="77777777" w:rsidR="005B09D8" w:rsidRPr="005B09D8" w:rsidRDefault="005B09D8" w:rsidP="005B09D8">
      <w:pPr>
        <w:spacing w:after="0" w:line="240" w:lineRule="auto"/>
        <w:rPr>
          <w:rFonts w:ascii="Times New Roman" w:eastAsia="Times New Roman" w:hAnsi="Times New Roman" w:cs="Times New Roman"/>
          <w:color w:val="000000" w:themeColor="text1"/>
          <w:kern w:val="36"/>
          <w:lang w:val="kk-KZ"/>
        </w:rPr>
      </w:pPr>
    </w:p>
    <w:p w14:paraId="07116278" w14:textId="77777777" w:rsidR="005B09D8" w:rsidRDefault="005B09D8" w:rsidP="005B09D8">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40FB3C68" w14:textId="77777777" w:rsidR="005B09D8" w:rsidRDefault="005B09D8" w:rsidP="005B09D8">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01494A93" w14:textId="77777777" w:rsidR="005B09D8" w:rsidRDefault="005B09D8" w:rsidP="005B09D8">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73BE8AAB" w14:textId="77777777" w:rsidR="005B09D8" w:rsidRDefault="005B09D8" w:rsidP="005B09D8">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1"/>
    </w:p>
    <w:p w14:paraId="6364B278" w14:textId="77777777" w:rsidR="005B09D8" w:rsidRPr="005B09D8" w:rsidRDefault="005B09D8">
      <w:pPr>
        <w:rPr>
          <w:lang w:val="kk-KZ"/>
        </w:rPr>
      </w:pPr>
    </w:p>
    <w:sectPr w:rsidR="005B09D8" w:rsidRPr="005B0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7D50"/>
    <w:multiLevelType w:val="hybridMultilevel"/>
    <w:tmpl w:val="E3E42B1E"/>
    <w:lvl w:ilvl="0" w:tplc="7724283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834220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04960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22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A6"/>
    <w:rsid w:val="00380FDB"/>
    <w:rsid w:val="0049001E"/>
    <w:rsid w:val="004B49FE"/>
    <w:rsid w:val="005006A6"/>
    <w:rsid w:val="005B09D8"/>
    <w:rsid w:val="00CE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E400"/>
  <w15:chartTrackingRefBased/>
  <w15:docId w15:val="{D22AC1A0-C884-4130-AAC4-3261AAB7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9D8"/>
    <w:pPr>
      <w:spacing w:line="256" w:lineRule="auto"/>
    </w:pPr>
    <w:rPr>
      <w:sz w:val="21"/>
      <w:szCs w:val="21"/>
    </w:rPr>
  </w:style>
  <w:style w:type="paragraph" w:styleId="2">
    <w:name w:val="heading 2"/>
    <w:basedOn w:val="a"/>
    <w:next w:val="a"/>
    <w:link w:val="20"/>
    <w:uiPriority w:val="9"/>
    <w:semiHidden/>
    <w:unhideWhenUsed/>
    <w:qFormat/>
    <w:rsid w:val="005B0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09D8"/>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5B09D8"/>
  </w:style>
  <w:style w:type="paragraph" w:styleId="a4">
    <w:name w:val="List Paragraph"/>
    <w:aliases w:val="без абзаца,маркированный,ПАРАГРАФ,List Paragraph"/>
    <w:basedOn w:val="a"/>
    <w:link w:val="a3"/>
    <w:uiPriority w:val="34"/>
    <w:qFormat/>
    <w:rsid w:val="005B09D8"/>
    <w:pPr>
      <w:spacing w:line="254" w:lineRule="auto"/>
      <w:ind w:left="720"/>
      <w:contextualSpacing/>
    </w:pPr>
    <w:rPr>
      <w:sz w:val="22"/>
      <w:szCs w:val="22"/>
    </w:rPr>
  </w:style>
  <w:style w:type="character" w:customStyle="1" w:styleId="s1">
    <w:name w:val="s1"/>
    <w:basedOn w:val="a0"/>
    <w:rsid w:val="005B09D8"/>
  </w:style>
  <w:style w:type="character" w:styleId="a5">
    <w:name w:val="Strong"/>
    <w:basedOn w:val="a0"/>
    <w:uiPriority w:val="22"/>
    <w:qFormat/>
    <w:rsid w:val="005B09D8"/>
    <w:rPr>
      <w:b/>
      <w:bCs/>
    </w:rPr>
  </w:style>
  <w:style w:type="character" w:styleId="a6">
    <w:name w:val="annotation reference"/>
    <w:basedOn w:val="a0"/>
    <w:uiPriority w:val="99"/>
    <w:semiHidden/>
    <w:unhideWhenUsed/>
    <w:rsid w:val="004B49FE"/>
    <w:rPr>
      <w:sz w:val="16"/>
      <w:szCs w:val="16"/>
    </w:rPr>
  </w:style>
  <w:style w:type="paragraph" w:styleId="a7">
    <w:name w:val="annotation text"/>
    <w:basedOn w:val="a"/>
    <w:link w:val="a8"/>
    <w:uiPriority w:val="99"/>
    <w:semiHidden/>
    <w:unhideWhenUsed/>
    <w:rsid w:val="004B49FE"/>
    <w:pPr>
      <w:spacing w:line="240" w:lineRule="auto"/>
    </w:pPr>
    <w:rPr>
      <w:sz w:val="20"/>
      <w:szCs w:val="20"/>
    </w:rPr>
  </w:style>
  <w:style w:type="character" w:customStyle="1" w:styleId="a8">
    <w:name w:val="Текст примечания Знак"/>
    <w:basedOn w:val="a0"/>
    <w:link w:val="a7"/>
    <w:uiPriority w:val="99"/>
    <w:semiHidden/>
    <w:rsid w:val="004B49FE"/>
    <w:rPr>
      <w:sz w:val="20"/>
      <w:szCs w:val="20"/>
    </w:rPr>
  </w:style>
  <w:style w:type="paragraph" w:styleId="a9">
    <w:name w:val="annotation subject"/>
    <w:basedOn w:val="a7"/>
    <w:next w:val="a7"/>
    <w:link w:val="aa"/>
    <w:uiPriority w:val="99"/>
    <w:semiHidden/>
    <w:unhideWhenUsed/>
    <w:rsid w:val="004B49FE"/>
    <w:rPr>
      <w:b/>
      <w:bCs/>
    </w:rPr>
  </w:style>
  <w:style w:type="character" w:customStyle="1" w:styleId="aa">
    <w:name w:val="Тема примечания Знак"/>
    <w:basedOn w:val="a8"/>
    <w:link w:val="a9"/>
    <w:uiPriority w:val="99"/>
    <w:semiHidden/>
    <w:rsid w:val="004B4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540">
      <w:bodyDiv w:val="1"/>
      <w:marLeft w:val="0"/>
      <w:marRight w:val="0"/>
      <w:marTop w:val="0"/>
      <w:marBottom w:val="0"/>
      <w:divBdr>
        <w:top w:val="none" w:sz="0" w:space="0" w:color="auto"/>
        <w:left w:val="none" w:sz="0" w:space="0" w:color="auto"/>
        <w:bottom w:val="none" w:sz="0" w:space="0" w:color="auto"/>
        <w:right w:val="none" w:sz="0" w:space="0" w:color="auto"/>
      </w:divBdr>
    </w:div>
    <w:div w:id="16001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2022-12-17T02:46:00Z</dcterms:created>
  <dcterms:modified xsi:type="dcterms:W3CDTF">2023-01-05T12:23:00Z</dcterms:modified>
</cp:coreProperties>
</file>